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23E46" w14:textId="77777777" w:rsidR="00A665C0" w:rsidRPr="00B62BD9" w:rsidRDefault="00A665C0" w:rsidP="00A665C0">
      <w:pPr>
        <w:pStyle w:val="Heading1"/>
        <w:jc w:val="left"/>
        <w:rPr>
          <w:rFonts w:cs="AGaramondPro-Regular"/>
          <w:color w:val="auto"/>
          <w:sz w:val="28"/>
          <w:szCs w:val="28"/>
          <w:u w:val="none"/>
        </w:rPr>
      </w:pPr>
      <w:bookmarkStart w:id="0" w:name="_GoBack"/>
      <w:bookmarkEnd w:id="0"/>
      <w:r w:rsidRPr="00B62BD9">
        <w:rPr>
          <w:rFonts w:cs="AGaramondPro-Regular"/>
          <w:color w:val="auto"/>
          <w:sz w:val="28"/>
          <w:szCs w:val="28"/>
          <w:u w:val="none"/>
        </w:rPr>
        <w:t>Appendix 1</w:t>
      </w:r>
    </w:p>
    <w:p w14:paraId="5C9BE762" w14:textId="75560EA4" w:rsidR="00A57892" w:rsidRPr="00B62BD9" w:rsidRDefault="00A665C0" w:rsidP="00A665C0">
      <w:pPr>
        <w:pStyle w:val="Heading1"/>
        <w:jc w:val="left"/>
        <w:rPr>
          <w:color w:val="auto"/>
          <w:sz w:val="28"/>
          <w:szCs w:val="28"/>
          <w:u w:val="none"/>
          <w:lang w:eastAsia="en-US"/>
        </w:rPr>
      </w:pPr>
      <w:r w:rsidRPr="00B62BD9">
        <w:rPr>
          <w:rFonts w:cs="AGaramondPro-Regular"/>
          <w:color w:val="auto"/>
          <w:sz w:val="28"/>
          <w:szCs w:val="28"/>
          <w:u w:val="none"/>
        </w:rPr>
        <w:t>Pre-procedur</w:t>
      </w:r>
      <w:r w:rsidR="00525BA6">
        <w:rPr>
          <w:rFonts w:cs="AGaramondPro-Regular"/>
          <w:color w:val="auto"/>
          <w:sz w:val="28"/>
          <w:szCs w:val="28"/>
          <w:u w:val="none"/>
        </w:rPr>
        <w:t>al</w:t>
      </w:r>
      <w:r w:rsidRPr="00B62BD9">
        <w:rPr>
          <w:rFonts w:cs="AGaramondPro-Regular"/>
          <w:color w:val="auto"/>
          <w:sz w:val="28"/>
          <w:szCs w:val="28"/>
          <w:u w:val="none"/>
        </w:rPr>
        <w:t xml:space="preserve"> patient evaluation</w:t>
      </w:r>
      <w:r w:rsidR="00A57892" w:rsidRPr="00B62BD9">
        <w:rPr>
          <w:color w:val="auto"/>
          <w:sz w:val="28"/>
          <w:szCs w:val="28"/>
          <w:u w:val="none"/>
        </w:rPr>
        <w:t xml:space="preserve"> </w:t>
      </w:r>
    </w:p>
    <w:p w14:paraId="64088047" w14:textId="02C766C8" w:rsidR="00A57892" w:rsidRPr="009A2AD1" w:rsidRDefault="00A57892" w:rsidP="009A2AD1">
      <w:pPr>
        <w:ind w:firstLine="720"/>
        <w:jc w:val="both"/>
        <w:rPr>
          <w:sz w:val="28"/>
          <w:szCs w:val="28"/>
        </w:rPr>
      </w:pPr>
      <w:r w:rsidRPr="009A2AD1">
        <w:rPr>
          <w:sz w:val="28"/>
          <w:szCs w:val="28"/>
        </w:rPr>
        <w:t>Pre-</w:t>
      </w:r>
      <w:r w:rsidR="004C7A35">
        <w:rPr>
          <w:sz w:val="28"/>
          <w:szCs w:val="28"/>
        </w:rPr>
        <w:t>procedural</w:t>
      </w:r>
      <w:r w:rsidRPr="009A2AD1">
        <w:rPr>
          <w:sz w:val="28"/>
          <w:szCs w:val="28"/>
        </w:rPr>
        <w:t xml:space="preserve"> preparation for deep sedation</w:t>
      </w:r>
      <w:r w:rsidR="004C7A35">
        <w:rPr>
          <w:sz w:val="28"/>
          <w:szCs w:val="28"/>
        </w:rPr>
        <w:t>/</w:t>
      </w:r>
      <w:r w:rsidR="00525BA6">
        <w:rPr>
          <w:sz w:val="28"/>
          <w:szCs w:val="28"/>
        </w:rPr>
        <w:t xml:space="preserve">general </w:t>
      </w:r>
      <w:r w:rsidR="004C7A35">
        <w:rPr>
          <w:sz w:val="28"/>
          <w:szCs w:val="28"/>
        </w:rPr>
        <w:t>anaesthesia should be an anaesthetist</w:t>
      </w:r>
      <w:r w:rsidRPr="009A2AD1">
        <w:rPr>
          <w:sz w:val="28"/>
          <w:szCs w:val="28"/>
        </w:rPr>
        <w:t>-led service working with the gastroenterology team. The focus is on pre-</w:t>
      </w:r>
      <w:r w:rsidR="00790899">
        <w:rPr>
          <w:sz w:val="28"/>
          <w:szCs w:val="28"/>
        </w:rPr>
        <w:t>procedural</w:t>
      </w:r>
      <w:r w:rsidRPr="009A2AD1">
        <w:rPr>
          <w:sz w:val="28"/>
          <w:szCs w:val="28"/>
        </w:rPr>
        <w:t xml:space="preserve"> optimisation, risk assessment, consent and post-</w:t>
      </w:r>
      <w:r w:rsidR="004C7A35">
        <w:rPr>
          <w:sz w:val="28"/>
          <w:szCs w:val="28"/>
        </w:rPr>
        <w:t>procedural</w:t>
      </w:r>
      <w:r w:rsidRPr="009A2AD1">
        <w:rPr>
          <w:sz w:val="28"/>
          <w:szCs w:val="28"/>
        </w:rPr>
        <w:t xml:space="preserve"> planning. </w:t>
      </w:r>
      <w:r w:rsidR="009A2AD1" w:rsidRPr="009A2AD1">
        <w:rPr>
          <w:sz w:val="28"/>
          <w:szCs w:val="28"/>
        </w:rPr>
        <w:t>Pre-</w:t>
      </w:r>
      <w:r w:rsidR="00525BA6">
        <w:rPr>
          <w:sz w:val="28"/>
          <w:szCs w:val="28"/>
        </w:rPr>
        <w:t>procedural</w:t>
      </w:r>
      <w:r w:rsidR="009A2AD1" w:rsidRPr="009A2AD1">
        <w:rPr>
          <w:sz w:val="28"/>
          <w:szCs w:val="28"/>
        </w:rPr>
        <w:t xml:space="preserve"> anaesthetic assessment should </w:t>
      </w:r>
      <w:r w:rsidR="009A2AD1">
        <w:rPr>
          <w:sz w:val="28"/>
          <w:szCs w:val="28"/>
        </w:rPr>
        <w:t>reduce the</w:t>
      </w:r>
      <w:r w:rsidR="009A2AD1" w:rsidRPr="009A2AD1">
        <w:rPr>
          <w:sz w:val="28"/>
          <w:szCs w:val="28"/>
        </w:rPr>
        <w:t xml:space="preserve"> risk for all patients </w:t>
      </w:r>
      <w:r w:rsidR="009A2AD1">
        <w:rPr>
          <w:sz w:val="28"/>
          <w:szCs w:val="28"/>
        </w:rPr>
        <w:t>and</w:t>
      </w:r>
      <w:r w:rsidR="009A2AD1" w:rsidRPr="009A2AD1">
        <w:rPr>
          <w:sz w:val="28"/>
          <w:szCs w:val="28"/>
        </w:rPr>
        <w:t xml:space="preserve"> identify </w:t>
      </w:r>
      <w:r w:rsidR="009A2AD1">
        <w:rPr>
          <w:sz w:val="28"/>
          <w:szCs w:val="28"/>
        </w:rPr>
        <w:t>high</w:t>
      </w:r>
      <w:r w:rsidR="00790899">
        <w:rPr>
          <w:sz w:val="28"/>
          <w:szCs w:val="28"/>
        </w:rPr>
        <w:t>-</w:t>
      </w:r>
      <w:r w:rsidR="009A2AD1">
        <w:rPr>
          <w:sz w:val="28"/>
          <w:szCs w:val="28"/>
        </w:rPr>
        <w:t>risk patient</w:t>
      </w:r>
      <w:r w:rsidR="00790899">
        <w:rPr>
          <w:sz w:val="28"/>
          <w:szCs w:val="28"/>
        </w:rPr>
        <w:t>s</w:t>
      </w:r>
      <w:r w:rsidR="009A2AD1" w:rsidRPr="009A2AD1">
        <w:rPr>
          <w:sz w:val="28"/>
          <w:szCs w:val="28"/>
        </w:rPr>
        <w:t xml:space="preserve">. </w:t>
      </w:r>
      <w:r w:rsidR="00790899">
        <w:rPr>
          <w:sz w:val="28"/>
          <w:szCs w:val="28"/>
        </w:rPr>
        <w:t xml:space="preserve">A template for pre-procedural assessment outlined is </w:t>
      </w:r>
      <w:r w:rsidR="004243EE">
        <w:rPr>
          <w:sz w:val="28"/>
          <w:szCs w:val="28"/>
        </w:rPr>
        <w:t>based on AAGBI and NICE guidance on pre-operative testing</w:t>
      </w:r>
      <w:r w:rsidRPr="009A2AD1">
        <w:rPr>
          <w:sz w:val="28"/>
          <w:szCs w:val="28"/>
        </w:rPr>
        <w:t>.</w:t>
      </w:r>
    </w:p>
    <w:p w14:paraId="352E104A" w14:textId="3FD59DCA" w:rsidR="00A57892" w:rsidRDefault="00A57892" w:rsidP="009A2AD1">
      <w:pPr>
        <w:ind w:firstLine="720"/>
        <w:jc w:val="both"/>
        <w:rPr>
          <w:sz w:val="28"/>
        </w:rPr>
      </w:pPr>
      <w:r w:rsidRPr="009A2AD1">
        <w:rPr>
          <w:sz w:val="28"/>
          <w:szCs w:val="28"/>
        </w:rPr>
        <w:t xml:space="preserve">The evolution of the </w:t>
      </w:r>
      <w:r w:rsidR="00790899">
        <w:rPr>
          <w:sz w:val="28"/>
          <w:szCs w:val="28"/>
        </w:rPr>
        <w:t xml:space="preserve">pre-procedural assessment </w:t>
      </w:r>
      <w:r w:rsidRPr="009A2AD1">
        <w:rPr>
          <w:sz w:val="28"/>
          <w:szCs w:val="28"/>
        </w:rPr>
        <w:t>service</w:t>
      </w:r>
      <w:r>
        <w:rPr>
          <w:sz w:val="28"/>
        </w:rPr>
        <w:t xml:space="preserve"> will have local influence and be procedure specific. The local</w:t>
      </w:r>
      <w:r w:rsidR="004C7A35">
        <w:rPr>
          <w:sz w:val="28"/>
        </w:rPr>
        <w:t>ly based</w:t>
      </w:r>
      <w:r>
        <w:rPr>
          <w:sz w:val="28"/>
        </w:rPr>
        <w:t xml:space="preserve"> anaesthetic pre-assessment service may be able to support a deep sedation /anaesthesia pre-</w:t>
      </w:r>
      <w:r w:rsidR="004C7A35">
        <w:rPr>
          <w:sz w:val="28"/>
        </w:rPr>
        <w:t>procedural</w:t>
      </w:r>
      <w:r>
        <w:rPr>
          <w:sz w:val="28"/>
        </w:rPr>
        <w:t xml:space="preserve"> preparation service, or this may require a de-novo development or be incorporated into other gastroenterology clinical services.</w:t>
      </w:r>
    </w:p>
    <w:p w14:paraId="4333C152" w14:textId="77777777" w:rsidR="00A57892" w:rsidRPr="00886CCC" w:rsidRDefault="00B62BD9" w:rsidP="00886CCC">
      <w:pPr>
        <w:pStyle w:val="Heading3"/>
      </w:pPr>
      <w:r w:rsidRPr="00886CCC">
        <w:t>Examples of pre-</w:t>
      </w:r>
      <w:r w:rsidR="004C7A35" w:rsidRPr="00886CCC">
        <w:t>procedural</w:t>
      </w:r>
      <w:r w:rsidR="004243EE" w:rsidRPr="00886CCC">
        <w:t xml:space="preserve"> review,</w:t>
      </w:r>
      <w:r w:rsidRPr="00886CCC">
        <w:t xml:space="preserve"> investigations and assessment</w:t>
      </w:r>
    </w:p>
    <w:p w14:paraId="338C49D8" w14:textId="77777777" w:rsidR="00A57892" w:rsidRDefault="00A57892" w:rsidP="00A5789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Age</w:t>
      </w:r>
    </w:p>
    <w:p w14:paraId="27F9C241" w14:textId="734BBC6F" w:rsidR="00A57892" w:rsidRDefault="004C7A35" w:rsidP="00A5789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Height, </w:t>
      </w:r>
      <w:r w:rsidR="009D3617">
        <w:rPr>
          <w:sz w:val="28"/>
        </w:rPr>
        <w:t>w</w:t>
      </w:r>
      <w:r w:rsidR="00A57892">
        <w:rPr>
          <w:sz w:val="28"/>
        </w:rPr>
        <w:t>eight and BMI</w:t>
      </w:r>
    </w:p>
    <w:p w14:paraId="339E08D6" w14:textId="42632EEF" w:rsidR="004243EE" w:rsidRDefault="004243EE" w:rsidP="00A5789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Full Blood Count, Renal Function and Coagulation tests should not be</w:t>
      </w:r>
      <w:r w:rsidR="00790899">
        <w:rPr>
          <w:sz w:val="28"/>
        </w:rPr>
        <w:t xml:space="preserve"> performed as</w:t>
      </w:r>
      <w:r>
        <w:rPr>
          <w:sz w:val="28"/>
        </w:rPr>
        <w:t xml:space="preserve"> routine unless indicated through the presence of underlying disease or treatments that will influence these tests.</w:t>
      </w:r>
    </w:p>
    <w:p w14:paraId="50C5CFAF" w14:textId="6985CC36" w:rsidR="004243EE" w:rsidRDefault="00A57892" w:rsidP="004243EE">
      <w:pPr>
        <w:pStyle w:val="ListParagraph"/>
        <w:numPr>
          <w:ilvl w:val="0"/>
          <w:numId w:val="1"/>
        </w:numPr>
        <w:rPr>
          <w:sz w:val="28"/>
        </w:rPr>
      </w:pPr>
      <w:r w:rsidRPr="004243EE">
        <w:rPr>
          <w:sz w:val="28"/>
        </w:rPr>
        <w:t>Respiratory Assessment</w:t>
      </w:r>
      <w:r w:rsidR="00790899" w:rsidRPr="00790899">
        <w:rPr>
          <w:sz w:val="28"/>
        </w:rPr>
        <w:t xml:space="preserve"> </w:t>
      </w:r>
      <w:r w:rsidR="00790899">
        <w:rPr>
          <w:sz w:val="28"/>
        </w:rPr>
        <w:t xml:space="preserve">should not be performed as routine </w:t>
      </w:r>
      <w:r w:rsidR="004243EE">
        <w:rPr>
          <w:sz w:val="28"/>
        </w:rPr>
        <w:t>unless indicated through the presence of underlying disease or treatments that will influence tests</w:t>
      </w:r>
      <w:r w:rsidR="00790899">
        <w:rPr>
          <w:sz w:val="28"/>
        </w:rPr>
        <w:t xml:space="preserve"> that can include</w:t>
      </w:r>
      <w:r w:rsidR="004243EE">
        <w:rPr>
          <w:sz w:val="28"/>
        </w:rPr>
        <w:t>.</w:t>
      </w:r>
    </w:p>
    <w:p w14:paraId="4FBD5386" w14:textId="77777777" w:rsidR="00A57892" w:rsidRDefault="004C7A35" w:rsidP="00A57892">
      <w:pPr>
        <w:pStyle w:val="ListParagraph"/>
        <w:numPr>
          <w:ilvl w:val="2"/>
          <w:numId w:val="1"/>
        </w:numPr>
        <w:rPr>
          <w:sz w:val="28"/>
        </w:rPr>
      </w:pPr>
      <w:r>
        <w:rPr>
          <w:sz w:val="28"/>
        </w:rPr>
        <w:t>Airway a</w:t>
      </w:r>
      <w:r w:rsidR="00A57892">
        <w:rPr>
          <w:sz w:val="28"/>
        </w:rPr>
        <w:t>ssessment</w:t>
      </w:r>
      <w:r w:rsidR="00A57892">
        <w:rPr>
          <w:sz w:val="28"/>
        </w:rPr>
        <w:tab/>
      </w:r>
    </w:p>
    <w:p w14:paraId="2D3A2B8D" w14:textId="4AEBB05C" w:rsidR="00A57892" w:rsidRDefault="004C7A35" w:rsidP="00A57892">
      <w:pPr>
        <w:pStyle w:val="ListParagraph"/>
        <w:numPr>
          <w:ilvl w:val="2"/>
          <w:numId w:val="1"/>
        </w:numPr>
        <w:rPr>
          <w:sz w:val="28"/>
        </w:rPr>
      </w:pPr>
      <w:r>
        <w:rPr>
          <w:sz w:val="28"/>
        </w:rPr>
        <w:t>Sleep a</w:t>
      </w:r>
      <w:r w:rsidR="00A57892">
        <w:rPr>
          <w:sz w:val="28"/>
        </w:rPr>
        <w:t>pnoea</w:t>
      </w:r>
      <w:r w:rsidR="007543F7">
        <w:rPr>
          <w:sz w:val="28"/>
        </w:rPr>
        <w:t xml:space="preserve"> (STOP BANG)</w:t>
      </w:r>
    </w:p>
    <w:p w14:paraId="2BA57AF8" w14:textId="77777777" w:rsidR="004C7A35" w:rsidRPr="004C7A35" w:rsidRDefault="004C7A35" w:rsidP="004C7A35">
      <w:pPr>
        <w:pStyle w:val="ListParagraph"/>
        <w:numPr>
          <w:ilvl w:val="2"/>
          <w:numId w:val="1"/>
        </w:numPr>
        <w:rPr>
          <w:sz w:val="28"/>
        </w:rPr>
      </w:pPr>
      <w:r>
        <w:rPr>
          <w:sz w:val="28"/>
        </w:rPr>
        <w:t>Pulmonary f</w:t>
      </w:r>
      <w:r w:rsidRPr="004243EE">
        <w:rPr>
          <w:sz w:val="28"/>
        </w:rPr>
        <w:t>unction tests</w:t>
      </w:r>
    </w:p>
    <w:p w14:paraId="066B3F29" w14:textId="340F6415" w:rsidR="00776610" w:rsidRDefault="00776610" w:rsidP="00A5789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Cardiac Assessment: This is not routine unless patient in ASA III/ IV and an ECG not available in </w:t>
      </w:r>
      <w:r w:rsidR="00790899">
        <w:rPr>
          <w:sz w:val="28"/>
        </w:rPr>
        <w:t>the previous</w:t>
      </w:r>
      <w:r>
        <w:rPr>
          <w:sz w:val="28"/>
        </w:rPr>
        <w:t xml:space="preserve"> </w:t>
      </w:r>
      <w:r w:rsidR="004243EE">
        <w:rPr>
          <w:sz w:val="28"/>
        </w:rPr>
        <w:t>12 months.</w:t>
      </w:r>
    </w:p>
    <w:p w14:paraId="5B62AACF" w14:textId="77777777" w:rsidR="00A57892" w:rsidRPr="00A31547" w:rsidRDefault="004243EE" w:rsidP="00A57892">
      <w:pPr>
        <w:pStyle w:val="ListParagraph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Current </w:t>
      </w:r>
      <w:r w:rsidR="004C7A35">
        <w:rPr>
          <w:color w:val="000000"/>
          <w:sz w:val="28"/>
          <w:szCs w:val="28"/>
        </w:rPr>
        <w:t>drug t</w:t>
      </w:r>
      <w:r w:rsidR="00A57892" w:rsidRPr="00A31547">
        <w:rPr>
          <w:color w:val="000000"/>
          <w:sz w:val="28"/>
          <w:szCs w:val="28"/>
        </w:rPr>
        <w:t>herapy</w:t>
      </w:r>
      <w:r>
        <w:rPr>
          <w:color w:val="000000"/>
          <w:sz w:val="28"/>
          <w:szCs w:val="28"/>
        </w:rPr>
        <w:t xml:space="preserve"> </w:t>
      </w:r>
      <w:r w:rsidR="004C7A35">
        <w:rPr>
          <w:color w:val="000000"/>
          <w:sz w:val="28"/>
          <w:szCs w:val="28"/>
        </w:rPr>
        <w:t>r</w:t>
      </w:r>
      <w:r>
        <w:rPr>
          <w:color w:val="000000"/>
          <w:sz w:val="28"/>
          <w:szCs w:val="28"/>
        </w:rPr>
        <w:t>eview</w:t>
      </w:r>
    </w:p>
    <w:p w14:paraId="733FB9C3" w14:textId="77777777" w:rsidR="00A57892" w:rsidRDefault="004C7A35" w:rsidP="00A57892">
      <w:pPr>
        <w:pStyle w:val="ListParagraph"/>
        <w:numPr>
          <w:ilvl w:val="0"/>
          <w:numId w:val="1"/>
        </w:numPr>
        <w:rPr>
          <w:color w:val="000000"/>
          <w:sz w:val="28"/>
        </w:rPr>
      </w:pPr>
      <w:r>
        <w:rPr>
          <w:color w:val="000000"/>
          <w:sz w:val="28"/>
        </w:rPr>
        <w:t>Anti-c</w:t>
      </w:r>
      <w:r w:rsidR="00A57892">
        <w:rPr>
          <w:color w:val="000000"/>
          <w:sz w:val="28"/>
        </w:rPr>
        <w:t>oagulation</w:t>
      </w:r>
      <w:r>
        <w:rPr>
          <w:color w:val="000000"/>
          <w:sz w:val="28"/>
        </w:rPr>
        <w:t xml:space="preserve"> r</w:t>
      </w:r>
      <w:r w:rsidR="004243EE">
        <w:rPr>
          <w:color w:val="000000"/>
          <w:sz w:val="28"/>
        </w:rPr>
        <w:t>eview</w:t>
      </w:r>
    </w:p>
    <w:p w14:paraId="6EC663A0" w14:textId="77777777" w:rsidR="00A57892" w:rsidRDefault="004C7A35" w:rsidP="00A57892">
      <w:pPr>
        <w:pStyle w:val="ListParagraph"/>
        <w:numPr>
          <w:ilvl w:val="0"/>
          <w:numId w:val="1"/>
        </w:numPr>
        <w:rPr>
          <w:color w:val="000000"/>
          <w:sz w:val="28"/>
        </w:rPr>
      </w:pPr>
      <w:r>
        <w:rPr>
          <w:color w:val="000000"/>
          <w:sz w:val="28"/>
        </w:rPr>
        <w:t>Diabetes m</w:t>
      </w:r>
      <w:r w:rsidR="00A57892">
        <w:rPr>
          <w:color w:val="000000"/>
          <w:sz w:val="28"/>
        </w:rPr>
        <w:t>anagement</w:t>
      </w:r>
    </w:p>
    <w:p w14:paraId="4BE8DFA5" w14:textId="77777777" w:rsidR="00A57892" w:rsidRDefault="004C7A35" w:rsidP="00A578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enturyGothic"/>
          <w:color w:val="000000"/>
          <w:sz w:val="28"/>
          <w:szCs w:val="28"/>
        </w:rPr>
      </w:pPr>
      <w:r>
        <w:rPr>
          <w:rFonts w:cs="CenturyGothic"/>
          <w:color w:val="000000"/>
          <w:sz w:val="28"/>
          <w:szCs w:val="28"/>
        </w:rPr>
        <w:t>Management of a</w:t>
      </w:r>
      <w:r w:rsidR="00A57892">
        <w:rPr>
          <w:rFonts w:cs="CenturyGothic"/>
          <w:color w:val="000000"/>
          <w:sz w:val="28"/>
          <w:szCs w:val="28"/>
        </w:rPr>
        <w:t xml:space="preserve">naemia </w:t>
      </w:r>
    </w:p>
    <w:p w14:paraId="3FD893C9" w14:textId="77777777" w:rsidR="00A57892" w:rsidRDefault="00A57892" w:rsidP="00A57892">
      <w:pPr>
        <w:pStyle w:val="ListParagraph"/>
        <w:numPr>
          <w:ilvl w:val="0"/>
          <w:numId w:val="1"/>
        </w:numPr>
        <w:rPr>
          <w:color w:val="000000"/>
          <w:sz w:val="28"/>
        </w:rPr>
      </w:pPr>
      <w:r>
        <w:rPr>
          <w:color w:val="000000"/>
          <w:sz w:val="28"/>
        </w:rPr>
        <w:t>MRSA risk</w:t>
      </w:r>
    </w:p>
    <w:p w14:paraId="72AA4D80" w14:textId="77777777" w:rsidR="00A57892" w:rsidRDefault="00A57892" w:rsidP="00A578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enturyGothic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Pregnancy testing before procedure</w:t>
      </w:r>
    </w:p>
    <w:p w14:paraId="0A6C0C48" w14:textId="77777777" w:rsidR="00A57892" w:rsidRDefault="00A57892" w:rsidP="00A578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rFonts w:cs="AGaramondPro-Regular"/>
          <w:sz w:val="28"/>
          <w:szCs w:val="28"/>
        </w:rPr>
        <w:t>History of tobacco, alcohol or substance use or abuse</w:t>
      </w:r>
    </w:p>
    <w:p w14:paraId="6E1FE578" w14:textId="77777777" w:rsidR="00A57892" w:rsidRDefault="004C7A35" w:rsidP="00A57892">
      <w:pPr>
        <w:pStyle w:val="ListParagraph"/>
        <w:numPr>
          <w:ilvl w:val="0"/>
          <w:numId w:val="1"/>
        </w:numPr>
        <w:rPr>
          <w:color w:val="000000"/>
          <w:sz w:val="28"/>
        </w:rPr>
      </w:pPr>
      <w:r>
        <w:rPr>
          <w:color w:val="000000"/>
          <w:sz w:val="28"/>
        </w:rPr>
        <w:t>Frailty and c</w:t>
      </w:r>
      <w:r w:rsidR="00A57892">
        <w:rPr>
          <w:color w:val="000000"/>
          <w:sz w:val="28"/>
        </w:rPr>
        <w:t>ognitive Impairment</w:t>
      </w:r>
    </w:p>
    <w:p w14:paraId="58B31917" w14:textId="77777777" w:rsidR="00A57892" w:rsidRDefault="00A57892" w:rsidP="00A578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GaramondPro-Regular"/>
          <w:color w:val="000000"/>
          <w:sz w:val="28"/>
          <w:szCs w:val="28"/>
        </w:rPr>
      </w:pPr>
      <w:r>
        <w:rPr>
          <w:color w:val="000000"/>
          <w:sz w:val="28"/>
        </w:rPr>
        <w:t>A</w:t>
      </w:r>
      <w:r>
        <w:rPr>
          <w:rFonts w:cs="AGaramondPro-Regular"/>
          <w:color w:val="000000"/>
          <w:sz w:val="28"/>
          <w:szCs w:val="28"/>
        </w:rPr>
        <w:t xml:space="preserve"> focused physical examination</w:t>
      </w:r>
    </w:p>
    <w:p w14:paraId="69D661CB" w14:textId="77777777" w:rsidR="004C7A35" w:rsidRDefault="004C7A35" w:rsidP="00A578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GaramondPro-Regular"/>
          <w:color w:val="000000"/>
          <w:sz w:val="28"/>
          <w:szCs w:val="28"/>
        </w:rPr>
      </w:pPr>
      <w:r>
        <w:rPr>
          <w:color w:val="000000"/>
          <w:sz w:val="28"/>
        </w:rPr>
        <w:t>Pre-procedural laboratory testing</w:t>
      </w:r>
    </w:p>
    <w:p w14:paraId="60728BCD" w14:textId="77777777" w:rsidR="00A57892" w:rsidRDefault="00A57892" w:rsidP="00A57892">
      <w:pPr>
        <w:pStyle w:val="ListParagraph"/>
        <w:ind w:left="1440"/>
        <w:rPr>
          <w:color w:val="000000"/>
          <w:sz w:val="28"/>
        </w:rPr>
      </w:pPr>
    </w:p>
    <w:p w14:paraId="256A1642" w14:textId="77777777" w:rsidR="00B62BD9" w:rsidRPr="00886CCC" w:rsidRDefault="004C7A35" w:rsidP="00886CCC">
      <w:pPr>
        <w:pStyle w:val="Heading3"/>
      </w:pPr>
      <w:r w:rsidRPr="00886CCC">
        <w:t>Risk a</w:t>
      </w:r>
      <w:r w:rsidR="00B62BD9" w:rsidRPr="00886CCC">
        <w:t>ssessment</w:t>
      </w:r>
    </w:p>
    <w:p w14:paraId="71E4B332" w14:textId="77777777" w:rsidR="00A57892" w:rsidRDefault="00A57892" w:rsidP="00A57892">
      <w:pPr>
        <w:rPr>
          <w:sz w:val="28"/>
        </w:rPr>
      </w:pPr>
      <w:r>
        <w:rPr>
          <w:sz w:val="28"/>
        </w:rPr>
        <w:t>There is no risk assessment tool available to estimate risk during deep sedation procedures. The ASA score is a pragmatic solution, providing an acceptable guide to morbidity.</w:t>
      </w:r>
    </w:p>
    <w:p w14:paraId="6DBB8178" w14:textId="77777777" w:rsidR="00A57892" w:rsidRDefault="00A57892" w:rsidP="00B62BD9">
      <w:pPr>
        <w:pStyle w:val="ListParagraph"/>
        <w:ind w:left="709"/>
        <w:rPr>
          <w:color w:val="000000"/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2126"/>
        <w:gridCol w:w="2268"/>
      </w:tblGrid>
      <w:tr w:rsidR="00A57892" w14:paraId="6CBBFD58" w14:textId="77777777" w:rsidTr="00B62BD9">
        <w:tc>
          <w:tcPr>
            <w:tcW w:w="5245" w:type="dxa"/>
            <w:vAlign w:val="center"/>
          </w:tcPr>
          <w:p w14:paraId="4D62BF9F" w14:textId="77777777" w:rsidR="00A57892" w:rsidRPr="00B62BD9" w:rsidRDefault="00A57892" w:rsidP="007F498D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0"/>
              </w:rPr>
            </w:pPr>
            <w:r w:rsidRPr="00B62BD9">
              <w:rPr>
                <w:b/>
                <w:color w:val="000000"/>
                <w:sz w:val="28"/>
                <w:szCs w:val="20"/>
              </w:rPr>
              <w:t>ASA Status</w:t>
            </w:r>
          </w:p>
        </w:tc>
        <w:tc>
          <w:tcPr>
            <w:tcW w:w="2126" w:type="dxa"/>
            <w:vAlign w:val="center"/>
          </w:tcPr>
          <w:p w14:paraId="605E074F" w14:textId="77777777" w:rsidR="00A57892" w:rsidRPr="00B62BD9" w:rsidRDefault="004C7A35" w:rsidP="00790899">
            <w:pPr>
              <w:pStyle w:val="ListParagraph"/>
              <w:spacing w:after="0" w:line="240" w:lineRule="auto"/>
              <w:ind w:left="41"/>
              <w:jc w:val="center"/>
              <w:rPr>
                <w:b/>
                <w:color w:val="000000"/>
                <w:sz w:val="28"/>
                <w:szCs w:val="20"/>
              </w:rPr>
            </w:pPr>
            <w:r>
              <w:rPr>
                <w:b/>
                <w:color w:val="000000"/>
                <w:sz w:val="28"/>
                <w:szCs w:val="20"/>
              </w:rPr>
              <w:t>Elective m</w:t>
            </w:r>
            <w:r w:rsidR="00A57892" w:rsidRPr="00B62BD9">
              <w:rPr>
                <w:b/>
                <w:color w:val="000000"/>
                <w:sz w:val="28"/>
                <w:szCs w:val="20"/>
              </w:rPr>
              <w:t>ortality (%)</w:t>
            </w:r>
          </w:p>
        </w:tc>
        <w:tc>
          <w:tcPr>
            <w:tcW w:w="2268" w:type="dxa"/>
            <w:vAlign w:val="center"/>
          </w:tcPr>
          <w:p w14:paraId="124B45A8" w14:textId="77777777" w:rsidR="00A57892" w:rsidRPr="00B62BD9" w:rsidRDefault="00A57892" w:rsidP="00790899">
            <w:pPr>
              <w:pStyle w:val="ListParagraph"/>
              <w:spacing w:after="0" w:line="240" w:lineRule="auto"/>
              <w:ind w:left="38"/>
              <w:jc w:val="center"/>
              <w:rPr>
                <w:b/>
                <w:color w:val="000000"/>
                <w:sz w:val="28"/>
                <w:szCs w:val="20"/>
              </w:rPr>
            </w:pPr>
            <w:r w:rsidRPr="00B62BD9">
              <w:rPr>
                <w:b/>
                <w:color w:val="000000"/>
                <w:sz w:val="28"/>
                <w:szCs w:val="20"/>
              </w:rPr>
              <w:t>Emergency Mortality (%)</w:t>
            </w:r>
          </w:p>
        </w:tc>
      </w:tr>
      <w:tr w:rsidR="00A57892" w14:paraId="3C74CB23" w14:textId="77777777" w:rsidTr="00B62BD9">
        <w:tc>
          <w:tcPr>
            <w:tcW w:w="5245" w:type="dxa"/>
          </w:tcPr>
          <w:p w14:paraId="02F30578" w14:textId="77777777" w:rsidR="00A57892" w:rsidRPr="00E97150" w:rsidRDefault="004C7A35" w:rsidP="007F498D">
            <w:pPr>
              <w:spacing w:after="0" w:line="240" w:lineRule="auto"/>
              <w:jc w:val="both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ASA 1: Healthy p</w:t>
            </w:r>
            <w:r w:rsidR="00A57892" w:rsidRPr="00E97150">
              <w:rPr>
                <w:color w:val="000000"/>
                <w:sz w:val="28"/>
                <w:szCs w:val="20"/>
              </w:rPr>
              <w:t>erson.</w:t>
            </w:r>
          </w:p>
        </w:tc>
        <w:tc>
          <w:tcPr>
            <w:tcW w:w="2126" w:type="dxa"/>
          </w:tcPr>
          <w:p w14:paraId="402580AB" w14:textId="77777777" w:rsidR="00A57892" w:rsidRPr="00E97150" w:rsidRDefault="00A57892" w:rsidP="00A5789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0" w:firstLine="0"/>
              <w:rPr>
                <w:color w:val="000000"/>
                <w:sz w:val="28"/>
                <w:szCs w:val="20"/>
              </w:rPr>
            </w:pPr>
            <w:r w:rsidRPr="00E97150">
              <w:rPr>
                <w:color w:val="000000"/>
                <w:sz w:val="28"/>
                <w:szCs w:val="20"/>
              </w:rPr>
              <w:t>0.00</w:t>
            </w:r>
          </w:p>
        </w:tc>
        <w:tc>
          <w:tcPr>
            <w:tcW w:w="2268" w:type="dxa"/>
          </w:tcPr>
          <w:p w14:paraId="79C6032D" w14:textId="77777777" w:rsidR="00A57892" w:rsidRPr="00E97150" w:rsidRDefault="00A57892" w:rsidP="00A5789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0" w:firstLine="0"/>
              <w:rPr>
                <w:color w:val="000000"/>
                <w:sz w:val="28"/>
                <w:szCs w:val="20"/>
              </w:rPr>
            </w:pPr>
            <w:r w:rsidRPr="00E97150">
              <w:rPr>
                <w:color w:val="000000"/>
                <w:sz w:val="28"/>
                <w:szCs w:val="20"/>
              </w:rPr>
              <w:t>0.16</w:t>
            </w:r>
          </w:p>
        </w:tc>
      </w:tr>
      <w:tr w:rsidR="00A57892" w14:paraId="146D7186" w14:textId="77777777" w:rsidTr="00B62BD9">
        <w:tc>
          <w:tcPr>
            <w:tcW w:w="5245" w:type="dxa"/>
          </w:tcPr>
          <w:p w14:paraId="67A1C5DE" w14:textId="77777777" w:rsidR="00A57892" w:rsidRPr="00E97150" w:rsidRDefault="004C7A35" w:rsidP="004C7A35">
            <w:pPr>
              <w:spacing w:after="0" w:line="240" w:lineRule="auto"/>
              <w:jc w:val="both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ASA 2: Mild s</w:t>
            </w:r>
            <w:r w:rsidR="00A57892" w:rsidRPr="00E97150">
              <w:rPr>
                <w:color w:val="000000"/>
                <w:sz w:val="28"/>
                <w:szCs w:val="20"/>
              </w:rPr>
              <w:t xml:space="preserve">ystemic </w:t>
            </w:r>
            <w:r>
              <w:rPr>
                <w:color w:val="000000"/>
                <w:sz w:val="28"/>
                <w:szCs w:val="20"/>
              </w:rPr>
              <w:t>d</w:t>
            </w:r>
            <w:r w:rsidR="00A57892" w:rsidRPr="00E97150">
              <w:rPr>
                <w:color w:val="000000"/>
                <w:sz w:val="28"/>
                <w:szCs w:val="20"/>
              </w:rPr>
              <w:t>isease.</w:t>
            </w:r>
          </w:p>
        </w:tc>
        <w:tc>
          <w:tcPr>
            <w:tcW w:w="2126" w:type="dxa"/>
          </w:tcPr>
          <w:p w14:paraId="4430D2C7" w14:textId="77777777" w:rsidR="00A57892" w:rsidRPr="00E97150" w:rsidRDefault="00A57892" w:rsidP="00A5789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0" w:firstLine="0"/>
              <w:rPr>
                <w:color w:val="000000"/>
                <w:sz w:val="28"/>
                <w:szCs w:val="20"/>
              </w:rPr>
            </w:pPr>
            <w:r w:rsidRPr="00E97150">
              <w:rPr>
                <w:color w:val="000000"/>
                <w:sz w:val="28"/>
                <w:szCs w:val="20"/>
              </w:rPr>
              <w:t>0.002</w:t>
            </w:r>
          </w:p>
        </w:tc>
        <w:tc>
          <w:tcPr>
            <w:tcW w:w="2268" w:type="dxa"/>
          </w:tcPr>
          <w:p w14:paraId="2013032C" w14:textId="77777777" w:rsidR="00A57892" w:rsidRPr="00E97150" w:rsidRDefault="00A57892" w:rsidP="00A5789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0" w:firstLine="0"/>
              <w:rPr>
                <w:color w:val="000000"/>
                <w:sz w:val="28"/>
                <w:szCs w:val="20"/>
              </w:rPr>
            </w:pPr>
            <w:r w:rsidRPr="00E97150">
              <w:rPr>
                <w:color w:val="000000"/>
                <w:sz w:val="28"/>
                <w:szCs w:val="20"/>
              </w:rPr>
              <w:t>0.5</w:t>
            </w:r>
          </w:p>
        </w:tc>
      </w:tr>
      <w:tr w:rsidR="00A57892" w14:paraId="1E484447" w14:textId="77777777" w:rsidTr="00B62BD9">
        <w:tc>
          <w:tcPr>
            <w:tcW w:w="5245" w:type="dxa"/>
          </w:tcPr>
          <w:p w14:paraId="45A8E08B" w14:textId="77777777" w:rsidR="00A57892" w:rsidRPr="00E97150" w:rsidRDefault="00A57892" w:rsidP="004C7A35">
            <w:pPr>
              <w:spacing w:after="0" w:line="240" w:lineRule="auto"/>
              <w:jc w:val="both"/>
              <w:rPr>
                <w:color w:val="000000"/>
                <w:sz w:val="28"/>
                <w:szCs w:val="20"/>
              </w:rPr>
            </w:pPr>
            <w:r w:rsidRPr="00E97150">
              <w:rPr>
                <w:color w:val="000000"/>
                <w:sz w:val="28"/>
                <w:szCs w:val="20"/>
              </w:rPr>
              <w:t xml:space="preserve">ASA 3: Severe </w:t>
            </w:r>
            <w:r w:rsidR="004C7A35">
              <w:rPr>
                <w:color w:val="000000"/>
                <w:sz w:val="28"/>
                <w:szCs w:val="20"/>
              </w:rPr>
              <w:t>systemic d</w:t>
            </w:r>
            <w:r w:rsidRPr="00E97150">
              <w:rPr>
                <w:color w:val="000000"/>
                <w:sz w:val="28"/>
                <w:szCs w:val="20"/>
              </w:rPr>
              <w:t>isease.</w:t>
            </w:r>
          </w:p>
        </w:tc>
        <w:tc>
          <w:tcPr>
            <w:tcW w:w="2126" w:type="dxa"/>
          </w:tcPr>
          <w:p w14:paraId="7ABB1D8B" w14:textId="77777777" w:rsidR="00A57892" w:rsidRPr="00E97150" w:rsidRDefault="00A57892" w:rsidP="00A5789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0" w:firstLine="0"/>
              <w:rPr>
                <w:color w:val="000000"/>
                <w:sz w:val="28"/>
                <w:szCs w:val="20"/>
              </w:rPr>
            </w:pPr>
            <w:r w:rsidRPr="00E97150">
              <w:rPr>
                <w:color w:val="000000"/>
                <w:sz w:val="28"/>
                <w:szCs w:val="20"/>
              </w:rPr>
              <w:t>0.035</w:t>
            </w:r>
          </w:p>
        </w:tc>
        <w:tc>
          <w:tcPr>
            <w:tcW w:w="2268" w:type="dxa"/>
          </w:tcPr>
          <w:p w14:paraId="776950A8" w14:textId="77777777" w:rsidR="00A57892" w:rsidRPr="00E97150" w:rsidRDefault="00A57892" w:rsidP="00A5789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0" w:firstLine="0"/>
              <w:rPr>
                <w:color w:val="000000"/>
                <w:sz w:val="28"/>
                <w:szCs w:val="20"/>
              </w:rPr>
            </w:pPr>
            <w:r w:rsidRPr="00E97150">
              <w:rPr>
                <w:color w:val="000000"/>
                <w:sz w:val="28"/>
                <w:szCs w:val="20"/>
              </w:rPr>
              <w:t>3.4</w:t>
            </w:r>
          </w:p>
        </w:tc>
      </w:tr>
      <w:tr w:rsidR="00A57892" w14:paraId="41CCD592" w14:textId="77777777" w:rsidTr="00B62BD9">
        <w:tc>
          <w:tcPr>
            <w:tcW w:w="5245" w:type="dxa"/>
          </w:tcPr>
          <w:p w14:paraId="55702C63" w14:textId="77777777" w:rsidR="00A57892" w:rsidRPr="00E97150" w:rsidRDefault="00B62BD9" w:rsidP="004C7A35">
            <w:pPr>
              <w:spacing w:after="0" w:line="240" w:lineRule="auto"/>
              <w:jc w:val="both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ASA 4</w:t>
            </w:r>
            <w:r w:rsidR="004243EE">
              <w:rPr>
                <w:color w:val="000000"/>
                <w:sz w:val="28"/>
                <w:szCs w:val="20"/>
              </w:rPr>
              <w:t>:</w:t>
            </w:r>
            <w:r w:rsidR="004243EE" w:rsidRPr="00E97150">
              <w:rPr>
                <w:color w:val="000000"/>
                <w:sz w:val="28"/>
                <w:szCs w:val="20"/>
              </w:rPr>
              <w:t xml:space="preserve"> Severe</w:t>
            </w:r>
            <w:r w:rsidR="00A57892" w:rsidRPr="00E97150">
              <w:rPr>
                <w:color w:val="000000"/>
                <w:sz w:val="28"/>
                <w:szCs w:val="20"/>
              </w:rPr>
              <w:t xml:space="preserve"> </w:t>
            </w:r>
            <w:r w:rsidR="004C7A35">
              <w:rPr>
                <w:color w:val="000000"/>
                <w:sz w:val="28"/>
                <w:szCs w:val="20"/>
              </w:rPr>
              <w:t>systemic d</w:t>
            </w:r>
            <w:r w:rsidR="00A57892" w:rsidRPr="00E97150">
              <w:rPr>
                <w:color w:val="000000"/>
                <w:sz w:val="28"/>
                <w:szCs w:val="20"/>
              </w:rPr>
              <w:t>isease that is a constant threat to life.</w:t>
            </w:r>
          </w:p>
        </w:tc>
        <w:tc>
          <w:tcPr>
            <w:tcW w:w="2126" w:type="dxa"/>
          </w:tcPr>
          <w:p w14:paraId="4B63AE93" w14:textId="77777777" w:rsidR="00A57892" w:rsidRPr="00E97150" w:rsidRDefault="00A57892" w:rsidP="00A5789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0" w:firstLine="0"/>
              <w:rPr>
                <w:color w:val="000000"/>
                <w:sz w:val="28"/>
                <w:szCs w:val="20"/>
              </w:rPr>
            </w:pPr>
            <w:r w:rsidRPr="00E97150">
              <w:rPr>
                <w:color w:val="000000"/>
                <w:sz w:val="28"/>
                <w:szCs w:val="20"/>
              </w:rPr>
              <w:t>0.32</w:t>
            </w:r>
          </w:p>
        </w:tc>
        <w:tc>
          <w:tcPr>
            <w:tcW w:w="2268" w:type="dxa"/>
          </w:tcPr>
          <w:p w14:paraId="4A2D2AB9" w14:textId="77777777" w:rsidR="00A57892" w:rsidRPr="00E97150" w:rsidRDefault="00A57892" w:rsidP="00A5789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0" w:firstLine="0"/>
              <w:rPr>
                <w:color w:val="000000"/>
                <w:sz w:val="28"/>
                <w:szCs w:val="20"/>
              </w:rPr>
            </w:pPr>
            <w:r w:rsidRPr="00E97150">
              <w:rPr>
                <w:color w:val="000000"/>
                <w:sz w:val="28"/>
                <w:szCs w:val="20"/>
              </w:rPr>
              <w:t>8.2</w:t>
            </w:r>
          </w:p>
        </w:tc>
      </w:tr>
      <w:tr w:rsidR="00A57892" w14:paraId="382BF527" w14:textId="77777777" w:rsidTr="00B62BD9">
        <w:tc>
          <w:tcPr>
            <w:tcW w:w="5245" w:type="dxa"/>
          </w:tcPr>
          <w:p w14:paraId="6A2A1E20" w14:textId="77777777" w:rsidR="00A57892" w:rsidRPr="00E97150" w:rsidRDefault="00B62BD9" w:rsidP="007F498D">
            <w:pPr>
              <w:spacing w:after="0" w:line="240" w:lineRule="auto"/>
              <w:jc w:val="both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ASA 5:</w:t>
            </w:r>
            <w:r w:rsidR="004C7A35">
              <w:rPr>
                <w:color w:val="000000"/>
                <w:sz w:val="28"/>
                <w:szCs w:val="20"/>
              </w:rPr>
              <w:t xml:space="preserve"> </w:t>
            </w:r>
            <w:r w:rsidR="00A57892" w:rsidRPr="00E97150">
              <w:rPr>
                <w:color w:val="000000"/>
                <w:sz w:val="28"/>
                <w:szCs w:val="20"/>
              </w:rPr>
              <w:t>A moribund person who is not expected to survive without the procedure.</w:t>
            </w:r>
          </w:p>
        </w:tc>
        <w:tc>
          <w:tcPr>
            <w:tcW w:w="2126" w:type="dxa"/>
          </w:tcPr>
          <w:p w14:paraId="6CD29487" w14:textId="77777777" w:rsidR="00A57892" w:rsidRPr="00E97150" w:rsidRDefault="00A57892" w:rsidP="00A5789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0" w:firstLine="0"/>
              <w:rPr>
                <w:color w:val="000000"/>
                <w:sz w:val="28"/>
                <w:szCs w:val="20"/>
              </w:rPr>
            </w:pPr>
            <w:r w:rsidRPr="00E97150">
              <w:rPr>
                <w:color w:val="000000"/>
                <w:sz w:val="28"/>
                <w:szCs w:val="20"/>
              </w:rPr>
              <w:t>8.7</w:t>
            </w:r>
          </w:p>
        </w:tc>
        <w:tc>
          <w:tcPr>
            <w:tcW w:w="2268" w:type="dxa"/>
          </w:tcPr>
          <w:p w14:paraId="6598F640" w14:textId="77777777" w:rsidR="00A57892" w:rsidRPr="00E97150" w:rsidRDefault="00A57892" w:rsidP="00A5789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0" w:firstLine="0"/>
              <w:rPr>
                <w:color w:val="000000"/>
                <w:sz w:val="28"/>
                <w:szCs w:val="20"/>
              </w:rPr>
            </w:pPr>
            <w:r w:rsidRPr="00E97150">
              <w:rPr>
                <w:color w:val="000000"/>
                <w:sz w:val="28"/>
                <w:szCs w:val="20"/>
              </w:rPr>
              <w:t>9.4</w:t>
            </w:r>
          </w:p>
        </w:tc>
      </w:tr>
    </w:tbl>
    <w:p w14:paraId="0968B555" w14:textId="77777777" w:rsidR="00A57892" w:rsidRDefault="00A57892" w:rsidP="00A57892">
      <w:pPr>
        <w:pStyle w:val="ListParagraph"/>
        <w:ind w:left="709"/>
        <w:rPr>
          <w:color w:val="000000"/>
          <w:sz w:val="28"/>
        </w:rPr>
      </w:pPr>
    </w:p>
    <w:p w14:paraId="11014164" w14:textId="77777777" w:rsidR="00B62BD9" w:rsidRPr="00886CCC" w:rsidRDefault="00F67934" w:rsidP="00886CCC">
      <w:pPr>
        <w:pStyle w:val="Heading3"/>
        <w:rPr>
          <w:szCs w:val="28"/>
        </w:rPr>
      </w:pPr>
      <w:r w:rsidRPr="00886CCC">
        <w:rPr>
          <w:szCs w:val="28"/>
        </w:rPr>
        <w:t>Consent and p</w:t>
      </w:r>
      <w:r w:rsidR="00B62BD9" w:rsidRPr="00886CCC">
        <w:rPr>
          <w:szCs w:val="28"/>
        </w:rPr>
        <w:t>reparation</w:t>
      </w:r>
    </w:p>
    <w:p w14:paraId="7836660D" w14:textId="77777777" w:rsidR="00A57892" w:rsidRDefault="00A57892" w:rsidP="00A5789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An explanation of the options for deep sedation and/ or anaesthesia</w:t>
      </w:r>
    </w:p>
    <w:p w14:paraId="59F600EC" w14:textId="77777777" w:rsidR="00A57892" w:rsidRDefault="00A57892" w:rsidP="00A5789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Pre-</w:t>
      </w:r>
      <w:r w:rsidR="004C7A35">
        <w:rPr>
          <w:sz w:val="28"/>
          <w:szCs w:val="28"/>
        </w:rPr>
        <w:t>procedural</w:t>
      </w:r>
      <w:r>
        <w:rPr>
          <w:sz w:val="28"/>
          <w:szCs w:val="28"/>
        </w:rPr>
        <w:t xml:space="preserve"> fasting and bowel preparation</w:t>
      </w:r>
      <w:r w:rsidR="004C7A35">
        <w:rPr>
          <w:sz w:val="28"/>
          <w:szCs w:val="28"/>
        </w:rPr>
        <w:t xml:space="preserve"> (where appropriate)</w:t>
      </w:r>
      <w:r>
        <w:rPr>
          <w:sz w:val="28"/>
          <w:szCs w:val="28"/>
        </w:rPr>
        <w:t xml:space="preserve"> </w:t>
      </w:r>
    </w:p>
    <w:p w14:paraId="4D8E55D8" w14:textId="77777777" w:rsidR="00A57892" w:rsidRDefault="00A57892" w:rsidP="00A5789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 plan for the perioperative management of anticoagulant drugs, diabetic drugs and other current medications.</w:t>
      </w:r>
    </w:p>
    <w:p w14:paraId="68801FD3" w14:textId="77777777" w:rsidR="00A57892" w:rsidRDefault="00A57892" w:rsidP="00A5789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The documentation of details of discussions and consent in the </w:t>
      </w:r>
      <w:r w:rsidR="004C7A35">
        <w:rPr>
          <w:sz w:val="28"/>
          <w:szCs w:val="28"/>
        </w:rPr>
        <w:t>sedation/</w:t>
      </w:r>
      <w:r>
        <w:rPr>
          <w:sz w:val="28"/>
          <w:szCs w:val="28"/>
        </w:rPr>
        <w:t>anaesthetic record.</w:t>
      </w:r>
    </w:p>
    <w:p w14:paraId="1651D21F" w14:textId="77777777" w:rsidR="00A57892" w:rsidRDefault="00A57892" w:rsidP="00A5789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Post-procedural care instructions</w:t>
      </w:r>
    </w:p>
    <w:p w14:paraId="5BF6BB63" w14:textId="57A66AA2" w:rsidR="00B62BD9" w:rsidRPr="00886CCC" w:rsidRDefault="004C7A35" w:rsidP="00B62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CCC">
        <w:rPr>
          <w:rFonts w:ascii="Times New Roman" w:hAnsi="Times New Roman"/>
          <w:b/>
          <w:sz w:val="28"/>
          <w:szCs w:val="28"/>
        </w:rPr>
        <w:t>The high</w:t>
      </w:r>
      <w:r w:rsidR="008B1A28" w:rsidRPr="00886CCC">
        <w:rPr>
          <w:rFonts w:ascii="Times New Roman" w:hAnsi="Times New Roman"/>
          <w:b/>
          <w:sz w:val="28"/>
          <w:szCs w:val="28"/>
        </w:rPr>
        <w:t>-</w:t>
      </w:r>
      <w:r w:rsidRPr="00886CCC">
        <w:rPr>
          <w:rFonts w:ascii="Times New Roman" w:hAnsi="Times New Roman"/>
          <w:b/>
          <w:sz w:val="28"/>
          <w:szCs w:val="28"/>
        </w:rPr>
        <w:t>risk p</w:t>
      </w:r>
      <w:r w:rsidR="00B62BD9" w:rsidRPr="00886CCC">
        <w:rPr>
          <w:rFonts w:ascii="Times New Roman" w:hAnsi="Times New Roman"/>
          <w:b/>
          <w:sz w:val="28"/>
          <w:szCs w:val="28"/>
        </w:rPr>
        <w:t>atient</w:t>
      </w:r>
    </w:p>
    <w:p w14:paraId="237FB3C9" w14:textId="77777777" w:rsidR="00B62BD9" w:rsidRPr="00B62BD9" w:rsidRDefault="00B62BD9" w:rsidP="00B62BD9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enturyGothic" w:hAnsi="CenturyGothic" w:cs="CenturyGothic"/>
          <w:b/>
          <w:sz w:val="28"/>
          <w:szCs w:val="28"/>
        </w:rPr>
      </w:pPr>
    </w:p>
    <w:p w14:paraId="7520F24B" w14:textId="77777777" w:rsidR="00A57892" w:rsidRDefault="00A57892" w:rsidP="004C7A3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enturyGothic" w:hAnsi="CenturyGothic" w:cs="CenturyGothic"/>
          <w:sz w:val="18"/>
          <w:szCs w:val="18"/>
        </w:rPr>
      </w:pPr>
      <w:r>
        <w:rPr>
          <w:sz w:val="28"/>
          <w:szCs w:val="28"/>
        </w:rPr>
        <w:t xml:space="preserve">High-risk patients should be discussed at a multidisciplinary team (MDT) meeting. </w:t>
      </w:r>
    </w:p>
    <w:p w14:paraId="0BFC2401" w14:textId="77777777" w:rsidR="00A57892" w:rsidRDefault="00A57892" w:rsidP="004C7A3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sz w:val="28"/>
          <w:szCs w:val="28"/>
        </w:rPr>
      </w:pPr>
      <w:r>
        <w:rPr>
          <w:rFonts w:cs="CenturyGothic"/>
          <w:sz w:val="28"/>
          <w:szCs w:val="18"/>
        </w:rPr>
        <w:lastRenderedPageBreak/>
        <w:t>High risk patients should have their expected risk of complications and death estimated and documented prior to intervention.</w:t>
      </w:r>
    </w:p>
    <w:p w14:paraId="04EB0E48" w14:textId="36AEEBF7" w:rsidR="002C0FD7" w:rsidRDefault="004C7A35" w:rsidP="00070F4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709" w:hanging="283"/>
        <w:jc w:val="both"/>
      </w:pPr>
      <w:r w:rsidRPr="00070F4F">
        <w:rPr>
          <w:rFonts w:cs="CenturyGothic"/>
          <w:color w:val="000000"/>
          <w:sz w:val="28"/>
          <w:szCs w:val="28"/>
        </w:rPr>
        <w:t>E</w:t>
      </w:r>
      <w:r w:rsidR="00A57892" w:rsidRPr="00070F4F">
        <w:rPr>
          <w:rFonts w:cs="CenturyGothic"/>
          <w:color w:val="000000"/>
          <w:sz w:val="28"/>
          <w:szCs w:val="28"/>
        </w:rPr>
        <w:t xml:space="preserve">scalation of care </w:t>
      </w:r>
      <w:r w:rsidRPr="00070F4F">
        <w:rPr>
          <w:rFonts w:cs="CenturyGothic"/>
          <w:color w:val="000000"/>
          <w:sz w:val="28"/>
          <w:szCs w:val="28"/>
        </w:rPr>
        <w:t xml:space="preserve">to the high dependency or intensive care unit should be planned </w:t>
      </w:r>
      <w:r w:rsidR="00A57892" w:rsidRPr="00070F4F">
        <w:rPr>
          <w:rFonts w:cs="CenturyGothic"/>
          <w:color w:val="000000"/>
          <w:sz w:val="28"/>
          <w:szCs w:val="28"/>
        </w:rPr>
        <w:t>in the event of peri</w:t>
      </w:r>
      <w:r w:rsidRPr="00070F4F">
        <w:rPr>
          <w:rFonts w:cs="CenturyGothic"/>
          <w:color w:val="000000"/>
          <w:sz w:val="28"/>
          <w:szCs w:val="28"/>
        </w:rPr>
        <w:t>-procedural complications.</w:t>
      </w:r>
    </w:p>
    <w:sectPr w:rsidR="002C0F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Gothic">
    <w:altName w:val="Times New Roman"/>
    <w:charset w:val="00"/>
    <w:family w:val="auto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3531"/>
    <w:multiLevelType w:val="multilevel"/>
    <w:tmpl w:val="8EBEA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2D21B1"/>
    <w:multiLevelType w:val="hybridMultilevel"/>
    <w:tmpl w:val="8A9E7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0ACC0"/>
      </w:rPr>
    </w:lvl>
    <w:lvl w:ilvl="1" w:tplc="51F0BC72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color w:val="50ACC0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15DC7"/>
    <w:multiLevelType w:val="hybridMultilevel"/>
    <w:tmpl w:val="BCF485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0AC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53F58"/>
    <w:multiLevelType w:val="hybridMultilevel"/>
    <w:tmpl w:val="79122AE6"/>
    <w:lvl w:ilvl="0" w:tplc="7A9E910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50ACC0"/>
        <w:sz w:val="24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FF6527C"/>
    <w:multiLevelType w:val="hybridMultilevel"/>
    <w:tmpl w:val="2CAE90FC"/>
    <w:lvl w:ilvl="0" w:tplc="D46E3FF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50ACC0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92"/>
    <w:rsid w:val="00070F4F"/>
    <w:rsid w:val="00080EF3"/>
    <w:rsid w:val="002C0FD7"/>
    <w:rsid w:val="002D7B16"/>
    <w:rsid w:val="004243EE"/>
    <w:rsid w:val="004C7A35"/>
    <w:rsid w:val="00525BA6"/>
    <w:rsid w:val="007543F7"/>
    <w:rsid w:val="00776610"/>
    <w:rsid w:val="00790899"/>
    <w:rsid w:val="00886CCC"/>
    <w:rsid w:val="008B1A28"/>
    <w:rsid w:val="009616ED"/>
    <w:rsid w:val="009A2AD1"/>
    <w:rsid w:val="009D3617"/>
    <w:rsid w:val="00A31547"/>
    <w:rsid w:val="00A57892"/>
    <w:rsid w:val="00A665C0"/>
    <w:rsid w:val="00B344A0"/>
    <w:rsid w:val="00B62BD9"/>
    <w:rsid w:val="00D27A85"/>
    <w:rsid w:val="00F67934"/>
    <w:rsid w:val="00F7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1FD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892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9"/>
    <w:qFormat/>
    <w:rsid w:val="00A57892"/>
    <w:pPr>
      <w:spacing w:before="100" w:beforeAutospacing="1" w:after="100" w:afterAutospacing="1" w:line="240" w:lineRule="auto"/>
      <w:jc w:val="center"/>
      <w:outlineLvl w:val="0"/>
    </w:pPr>
    <w:rPr>
      <w:rFonts w:ascii="Times New Roman" w:hAnsi="Times New Roman"/>
      <w:b/>
      <w:bCs/>
      <w:color w:val="984806"/>
      <w:kern w:val="36"/>
      <w:sz w:val="48"/>
      <w:szCs w:val="48"/>
      <w:u w:val="single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7892"/>
    <w:pPr>
      <w:keepNext/>
      <w:keepLines/>
      <w:spacing w:before="200" w:after="0"/>
      <w:jc w:val="center"/>
      <w:outlineLvl w:val="1"/>
    </w:pPr>
    <w:rPr>
      <w:rFonts w:ascii="Cambria" w:hAnsi="Cambria"/>
      <w:b/>
      <w:bCs/>
      <w:color w:val="984806"/>
      <w:sz w:val="26"/>
      <w:szCs w:val="26"/>
      <w:u w:val="single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6CCC"/>
    <w:pPr>
      <w:keepNext/>
      <w:outlineLvl w:val="2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57892"/>
    <w:rPr>
      <w:rFonts w:ascii="Times New Roman" w:eastAsia="Calibri" w:hAnsi="Times New Roman" w:cs="Times New Roman"/>
      <w:b/>
      <w:bCs/>
      <w:color w:val="984806"/>
      <w:kern w:val="36"/>
      <w:sz w:val="48"/>
      <w:szCs w:val="48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A57892"/>
    <w:rPr>
      <w:rFonts w:ascii="Cambria" w:eastAsia="Calibri" w:hAnsi="Cambria" w:cs="Times New Roman"/>
      <w:b/>
      <w:bCs/>
      <w:color w:val="984806"/>
      <w:sz w:val="26"/>
      <w:szCs w:val="26"/>
      <w:u w:val="single"/>
      <w:lang w:eastAsia="en-GB"/>
    </w:rPr>
  </w:style>
  <w:style w:type="paragraph" w:styleId="ListParagraph">
    <w:name w:val="List Paragraph"/>
    <w:basedOn w:val="Normal"/>
    <w:uiPriority w:val="99"/>
    <w:qFormat/>
    <w:rsid w:val="00A5789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57892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A5789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578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892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892"/>
    <w:rPr>
      <w:rFonts w:ascii="Tahoma" w:eastAsia="Calibri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86CCC"/>
    <w:rPr>
      <w:rFonts w:ascii="Times New Roman" w:eastAsia="Calibri" w:hAnsi="Times New Roman" w:cs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892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9"/>
    <w:qFormat/>
    <w:rsid w:val="00A57892"/>
    <w:pPr>
      <w:spacing w:before="100" w:beforeAutospacing="1" w:after="100" w:afterAutospacing="1" w:line="240" w:lineRule="auto"/>
      <w:jc w:val="center"/>
      <w:outlineLvl w:val="0"/>
    </w:pPr>
    <w:rPr>
      <w:rFonts w:ascii="Times New Roman" w:hAnsi="Times New Roman"/>
      <w:b/>
      <w:bCs/>
      <w:color w:val="984806"/>
      <w:kern w:val="36"/>
      <w:sz w:val="48"/>
      <w:szCs w:val="48"/>
      <w:u w:val="single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7892"/>
    <w:pPr>
      <w:keepNext/>
      <w:keepLines/>
      <w:spacing w:before="200" w:after="0"/>
      <w:jc w:val="center"/>
      <w:outlineLvl w:val="1"/>
    </w:pPr>
    <w:rPr>
      <w:rFonts w:ascii="Cambria" w:hAnsi="Cambria"/>
      <w:b/>
      <w:bCs/>
      <w:color w:val="984806"/>
      <w:sz w:val="26"/>
      <w:szCs w:val="26"/>
      <w:u w:val="single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6CCC"/>
    <w:pPr>
      <w:keepNext/>
      <w:outlineLvl w:val="2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57892"/>
    <w:rPr>
      <w:rFonts w:ascii="Times New Roman" w:eastAsia="Calibri" w:hAnsi="Times New Roman" w:cs="Times New Roman"/>
      <w:b/>
      <w:bCs/>
      <w:color w:val="984806"/>
      <w:kern w:val="36"/>
      <w:sz w:val="48"/>
      <w:szCs w:val="48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A57892"/>
    <w:rPr>
      <w:rFonts w:ascii="Cambria" w:eastAsia="Calibri" w:hAnsi="Cambria" w:cs="Times New Roman"/>
      <w:b/>
      <w:bCs/>
      <w:color w:val="984806"/>
      <w:sz w:val="26"/>
      <w:szCs w:val="26"/>
      <w:u w:val="single"/>
      <w:lang w:eastAsia="en-GB"/>
    </w:rPr>
  </w:style>
  <w:style w:type="paragraph" w:styleId="ListParagraph">
    <w:name w:val="List Paragraph"/>
    <w:basedOn w:val="Normal"/>
    <w:uiPriority w:val="99"/>
    <w:qFormat/>
    <w:rsid w:val="00A5789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57892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A5789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578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892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892"/>
    <w:rPr>
      <w:rFonts w:ascii="Tahoma" w:eastAsia="Calibri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86CCC"/>
    <w:rPr>
      <w:rFonts w:ascii="Times New Roman" w:eastAsia="Calibri" w:hAnsi="Times New Roman" w:cs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C10E1A5</Template>
  <TotalTime>1</TotalTime>
  <Pages>3</Pages>
  <Words>464</Words>
  <Characters>2645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Teaching Hospital NHS Foundation Trust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Sidhu, Reena (Gastroenterology)</dc:creator>
  <cp:lastModifiedBy>Sidhu, Reena (Gastroenterology)</cp:lastModifiedBy>
  <cp:revision>2</cp:revision>
  <dcterms:created xsi:type="dcterms:W3CDTF">2018-10-30T15:59:00Z</dcterms:created>
  <dcterms:modified xsi:type="dcterms:W3CDTF">2018-10-30T15:59:00Z</dcterms:modified>
</cp:coreProperties>
</file>