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DC" w:rsidRDefault="00901CB6">
      <w:bookmarkStart w:id="0" w:name="_GoBack"/>
      <w:bookmarkEnd w:id="0"/>
      <w:r>
        <w:t>Appendix 2 – Detailed breakdown of adenocarcinoma and serious colorectal disease cases.</w:t>
      </w:r>
    </w:p>
    <w:p w:rsidR="00736F5E" w:rsidRDefault="00736F5E"/>
    <w:tbl>
      <w:tblPr>
        <w:tblStyle w:val="TableGrid"/>
        <w:tblW w:w="9948" w:type="dxa"/>
        <w:tblInd w:w="-289" w:type="dxa"/>
        <w:tblLook w:val="04A0" w:firstRow="1" w:lastRow="0" w:firstColumn="1" w:lastColumn="0" w:noHBand="0" w:noVBand="1"/>
      </w:tblPr>
      <w:tblGrid>
        <w:gridCol w:w="833"/>
        <w:gridCol w:w="832"/>
        <w:gridCol w:w="1596"/>
        <w:gridCol w:w="3651"/>
        <w:gridCol w:w="3036"/>
      </w:tblGrid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736F5E" w:rsidRDefault="00736F5E" w:rsidP="0046097D">
            <w:pPr>
              <w:rPr>
                <w:b/>
                <w:sz w:val="20"/>
                <w:szCs w:val="20"/>
              </w:rPr>
            </w:pPr>
            <w:r w:rsidRPr="00736F5E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736F5E" w:rsidRDefault="00736F5E" w:rsidP="0046097D">
            <w:pPr>
              <w:rPr>
                <w:b/>
                <w:sz w:val="20"/>
                <w:szCs w:val="20"/>
              </w:rPr>
            </w:pPr>
            <w:r w:rsidRPr="00736F5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736F5E" w:rsidRDefault="00736F5E" w:rsidP="00736F5E">
            <w:pPr>
              <w:rPr>
                <w:b/>
                <w:sz w:val="20"/>
                <w:szCs w:val="20"/>
              </w:rPr>
            </w:pPr>
            <w:r w:rsidRPr="00736F5E">
              <w:rPr>
                <w:b/>
                <w:sz w:val="20"/>
                <w:szCs w:val="20"/>
              </w:rPr>
              <w:t>Max FIT (</w:t>
            </w:r>
            <w:r w:rsidRPr="00736F5E">
              <w:rPr>
                <w:rStyle w:val="None"/>
                <w:b/>
                <w:color w:val="212121"/>
              </w:rPr>
              <w:t>µg/g)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736F5E" w:rsidRDefault="00736F5E" w:rsidP="0046097D">
            <w:pPr>
              <w:rPr>
                <w:b/>
                <w:sz w:val="20"/>
                <w:szCs w:val="20"/>
              </w:rPr>
            </w:pPr>
            <w:r w:rsidRPr="00736F5E">
              <w:rPr>
                <w:b/>
                <w:sz w:val="20"/>
                <w:szCs w:val="20"/>
              </w:rPr>
              <w:t>Symptoms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736F5E" w:rsidRDefault="00736F5E" w:rsidP="0046097D">
            <w:pPr>
              <w:rPr>
                <w:b/>
                <w:sz w:val="20"/>
                <w:szCs w:val="20"/>
              </w:rPr>
            </w:pPr>
            <w:r w:rsidRPr="00736F5E">
              <w:rPr>
                <w:b/>
                <w:sz w:val="20"/>
                <w:szCs w:val="20"/>
              </w:rPr>
              <w:t>Conclusion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83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450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None reported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Adenocarcinoma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55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450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Iron deficiency anaemia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Inflammatory disease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53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450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Anaemia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Adenocarcinoma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52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389.5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Rectal bleeding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Large polyp (&gt;10 mm)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56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213.9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Diarrhoea with blood in stool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Inflammatory disease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85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210.1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Iron deficiency anaemia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Adenocarcinoma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46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119.1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Melena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Inflammatory disease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63.9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 xml:space="preserve">Change in bowel habit 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Adenocarcinoma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83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38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Anaemia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Adenocarcinoma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55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14.8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Change of bowel habit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Adenocarcinoma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51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8.7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Iron deficiency anaemia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Large polyp (&gt;10 mm)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6.2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Anaemia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Inflammatory disease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1.9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Abdominal pain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Large polyp (&gt;10 mm)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1.7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Anaemia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Inflammatory disease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74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1.3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New onset constipation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Large polyp (&gt;10 mm)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86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1.2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Change in bowel habit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Inflammatory disease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80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Change in bowel habit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Adenocarcinoma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77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Loose stools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Neural endocrine tumour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Female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0.5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Loose stools and abdominal pains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Large polyp (&gt;10 mm)</w:t>
            </w:r>
          </w:p>
        </w:tc>
      </w:tr>
      <w:tr w:rsidR="00736F5E" w:rsidRPr="00EF6359" w:rsidTr="00736F5E">
        <w:trPr>
          <w:trHeight w:val="315"/>
        </w:trPr>
        <w:tc>
          <w:tcPr>
            <w:tcW w:w="833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26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Male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0.5</w:t>
            </w:r>
          </w:p>
        </w:tc>
        <w:tc>
          <w:tcPr>
            <w:tcW w:w="3651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Loose stools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736F5E" w:rsidRPr="00EF6359" w:rsidRDefault="00736F5E" w:rsidP="0046097D">
            <w:pPr>
              <w:rPr>
                <w:sz w:val="20"/>
                <w:szCs w:val="20"/>
              </w:rPr>
            </w:pPr>
            <w:r w:rsidRPr="00EF6359">
              <w:rPr>
                <w:sz w:val="20"/>
                <w:szCs w:val="20"/>
              </w:rPr>
              <w:t>Lower GI: Large polyp (&gt;10 mm)</w:t>
            </w:r>
          </w:p>
        </w:tc>
      </w:tr>
    </w:tbl>
    <w:p w:rsidR="00736F5E" w:rsidRDefault="00736F5E"/>
    <w:p w:rsidR="007926DC" w:rsidRDefault="007926DC">
      <w:r>
        <w:br w:type="page"/>
      </w:r>
    </w:p>
    <w:tbl>
      <w:tblPr>
        <w:tblpPr w:leftFromText="180" w:rightFromText="180" w:vertAnchor="page" w:horzAnchor="margin" w:tblpY="2629"/>
        <w:tblW w:w="97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54"/>
        <w:gridCol w:w="1576"/>
        <w:gridCol w:w="1650"/>
        <w:gridCol w:w="1595"/>
        <w:gridCol w:w="1422"/>
        <w:gridCol w:w="1620"/>
      </w:tblGrid>
      <w:tr w:rsidR="007926DC" w:rsidTr="00ED7CF4">
        <w:trPr>
          <w:trHeight w:val="23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DC" w:rsidRDefault="007926DC" w:rsidP="00ED7CF4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DC" w:rsidRDefault="007926DC" w:rsidP="00ED7CF4">
            <w:pPr>
              <w:spacing w:line="256" w:lineRule="auto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Sensitivity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Specificity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PPV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NPV</w:t>
            </w:r>
          </w:p>
        </w:tc>
      </w:tr>
      <w:tr w:rsidR="007926DC" w:rsidTr="00ED7CF4">
        <w:trPr>
          <w:trHeight w:val="510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Adenocarcinoma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FOB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85.7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(42.1 to 99.6)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65.8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(59.1 to 72.0)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7.3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(2.7 to 15.2)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99.3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(96.3 to 100.0) </w:t>
            </w:r>
          </w:p>
        </w:tc>
      </w:tr>
      <w:tr w:rsidR="007926DC" w:rsidTr="00ED7CF4">
        <w:trPr>
          <w:trHeight w:val="51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7926DC" w:rsidRDefault="007926DC" w:rsidP="00ED7CF4">
            <w:pPr>
              <w:spacing w:line="256" w:lineRule="auto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FIT at 7µg/g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85.7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(42.1 to 99.6)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89.2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(84.3 to 92.9)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20.0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(7.7 to 38.6)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99.5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(97.2 to 100.0)</w:t>
            </w:r>
          </w:p>
        </w:tc>
      </w:tr>
      <w:tr w:rsidR="007926DC" w:rsidTr="00ED7CF4">
        <w:trPr>
          <w:trHeight w:val="51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7926DC" w:rsidRDefault="007926DC" w:rsidP="00ED7CF4">
            <w:pPr>
              <w:spacing w:line="256" w:lineRule="auto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FIT at 10µg/g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85.7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(42.1 to 99.6)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90.5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(85.9 to 94.0)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22.2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(8.6 to 42.3)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99.5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(97.3 to 100.0)</w:t>
            </w:r>
          </w:p>
        </w:tc>
      </w:tr>
      <w:tr w:rsidR="007926DC" w:rsidTr="00ED7CF4">
        <w:trPr>
          <w:trHeight w:val="51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7926DC" w:rsidRDefault="007926DC" w:rsidP="00ED7CF4">
            <w:pPr>
              <w:spacing w:line="256" w:lineRule="auto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rPr>
                <w:lang w:eastAsia="en-US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FIT at 20µg/g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71.4 </w:t>
            </w:r>
          </w:p>
          <w:p w:rsidR="007926DC" w:rsidRDefault="007926DC" w:rsidP="00ED7CF4">
            <w:pPr>
              <w:pStyle w:val="BodyB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(29.0 to 96.3)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92.8 </w:t>
            </w:r>
          </w:p>
          <w:p w:rsidR="007926DC" w:rsidRDefault="007926DC" w:rsidP="00ED7CF4">
            <w:pPr>
              <w:pStyle w:val="BodyB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(88.6 to 95.8)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23.8 </w:t>
            </w:r>
          </w:p>
          <w:p w:rsidR="007926DC" w:rsidRDefault="007926DC" w:rsidP="00ED7CF4">
            <w:pPr>
              <w:pStyle w:val="Body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(8.2 to 47.2)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99.0 </w:t>
            </w:r>
          </w:p>
          <w:p w:rsidR="007926DC" w:rsidRDefault="007926DC" w:rsidP="00ED7CF4">
            <w:pPr>
              <w:pStyle w:val="Body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(96.6 to 99.9)</w:t>
            </w:r>
          </w:p>
        </w:tc>
      </w:tr>
      <w:tr w:rsidR="007926DC" w:rsidTr="00ED7CF4">
        <w:trPr>
          <w:trHeight w:val="51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7926DC" w:rsidRDefault="007926DC" w:rsidP="00ED7CF4">
            <w:pPr>
              <w:spacing w:line="256" w:lineRule="auto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rPr>
                <w:lang w:eastAsia="en-US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FIT at 50µg/g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57.1 </w:t>
            </w:r>
          </w:p>
          <w:p w:rsidR="007926DC" w:rsidRDefault="007926DC" w:rsidP="00ED7CF4">
            <w:pPr>
              <w:pStyle w:val="BodyB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(18.4 to 90.1)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95.9 </w:t>
            </w:r>
          </w:p>
          <w:p w:rsidR="007926DC" w:rsidRDefault="007926DC" w:rsidP="00ED7CF4">
            <w:pPr>
              <w:pStyle w:val="BodyB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(92.4 to 98.1)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30.8 </w:t>
            </w:r>
          </w:p>
          <w:p w:rsidR="007926DC" w:rsidRDefault="007926DC" w:rsidP="00ED7CF4">
            <w:pPr>
              <w:pStyle w:val="Body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(9.1 to 61.4)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98.6 </w:t>
            </w:r>
          </w:p>
          <w:p w:rsidR="007926DC" w:rsidRDefault="007926DC" w:rsidP="00ED7CF4">
            <w:pPr>
              <w:pStyle w:val="Body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(96.0 to 99.7)</w:t>
            </w:r>
          </w:p>
        </w:tc>
      </w:tr>
      <w:tr w:rsidR="007926DC" w:rsidTr="00ED7CF4">
        <w:trPr>
          <w:trHeight w:val="510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Significant colorectal disease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FOB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63.2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(38.4 to 83.7)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66.7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(59.9 to 73.0)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14.6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(7.8 to 24.2)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95.2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 (90.4 to 98.1)</w:t>
            </w:r>
          </w:p>
        </w:tc>
      </w:tr>
      <w:tr w:rsidR="007926DC" w:rsidTr="00ED7CF4">
        <w:trPr>
          <w:trHeight w:val="67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7926DC" w:rsidRDefault="007926DC" w:rsidP="00ED7CF4">
            <w:pPr>
              <w:spacing w:line="256" w:lineRule="auto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FIT at 7µg/g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52.6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(28.9 to 75.6)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90.5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(85.7 to 94.1)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33.3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(17.3 to 52.8)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95.5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(91.6 to 97.9)</w:t>
            </w:r>
          </w:p>
        </w:tc>
      </w:tr>
      <w:tr w:rsidR="007926DC" w:rsidTr="00ED7CF4">
        <w:trPr>
          <w:trHeight w:val="67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7926DC" w:rsidRDefault="007926DC" w:rsidP="00ED7CF4">
            <w:pPr>
              <w:spacing w:line="256" w:lineRule="auto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rPr>
                <w:lang w:eastAsia="en-US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>FIT at 10 µg/g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47.4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(24.4 to 71.1)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91.4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(86.8 to 94.8)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33.3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(16.5 to 54.0)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eastAsia="en-US"/>
              </w:rPr>
              <w:t xml:space="preserve">95.0 </w:t>
            </w:r>
          </w:p>
          <w:p w:rsidR="007926DC" w:rsidRDefault="007926DC" w:rsidP="00ED7C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lang w:eastAsia="en-US"/>
              </w:rPr>
              <w:t>(91.1 to 97.6)</w:t>
            </w:r>
          </w:p>
        </w:tc>
      </w:tr>
      <w:tr w:rsidR="007926DC" w:rsidTr="00ED7CF4">
        <w:trPr>
          <w:trHeight w:val="67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7926DC" w:rsidRDefault="007926DC" w:rsidP="00ED7CF4">
            <w:pPr>
              <w:spacing w:line="256" w:lineRule="auto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rPr>
                <w:lang w:eastAsia="en-US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FIT at 20µg/g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42.1 </w:t>
            </w:r>
          </w:p>
          <w:p w:rsidR="007926DC" w:rsidRDefault="007926DC" w:rsidP="00ED7CF4">
            <w:pPr>
              <w:pStyle w:val="BodyB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(20.3 to 66.5)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93.8 </w:t>
            </w:r>
          </w:p>
          <w:p w:rsidR="007926DC" w:rsidRDefault="007926DC" w:rsidP="00ED7CF4">
            <w:pPr>
              <w:pStyle w:val="BodyB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(89.6 to 96.7)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38.1 </w:t>
            </w:r>
          </w:p>
          <w:p w:rsidR="007926DC" w:rsidRDefault="007926DC" w:rsidP="00ED7CF4">
            <w:pPr>
              <w:pStyle w:val="Body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(18.1 to 61.6)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94.7 </w:t>
            </w:r>
          </w:p>
          <w:p w:rsidR="007926DC" w:rsidRDefault="007926DC" w:rsidP="00ED7CF4">
            <w:pPr>
              <w:pStyle w:val="Body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(90.7 to 97.3)</w:t>
            </w:r>
          </w:p>
        </w:tc>
      </w:tr>
      <w:tr w:rsidR="007926DC" w:rsidTr="00ED7CF4">
        <w:trPr>
          <w:trHeight w:val="67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7926DC" w:rsidRDefault="007926DC" w:rsidP="00ED7CF4">
            <w:pPr>
              <w:spacing w:line="256" w:lineRule="auto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rPr>
                <w:lang w:eastAsia="en-US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FIT at 50µg/g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36.8 </w:t>
            </w:r>
          </w:p>
          <w:p w:rsidR="007926DC" w:rsidRDefault="007926DC" w:rsidP="00ED7CF4">
            <w:pPr>
              <w:pStyle w:val="BodyB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(16.3 to 61.6)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B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97.1 </w:t>
            </w:r>
          </w:p>
          <w:p w:rsidR="007926DC" w:rsidRDefault="007926DC" w:rsidP="00ED7CF4">
            <w:pPr>
              <w:pStyle w:val="BodyB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(93.9 to 98.9)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53.8 </w:t>
            </w:r>
          </w:p>
          <w:p w:rsidR="007926DC" w:rsidRDefault="007926DC" w:rsidP="00ED7CF4">
            <w:pPr>
              <w:pStyle w:val="Body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(25.1 to 80.8)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26DC" w:rsidRDefault="007926DC" w:rsidP="00ED7CF4">
            <w:pPr>
              <w:pStyle w:val="Body"/>
              <w:spacing w:line="256" w:lineRule="auto"/>
              <w:jc w:val="center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94.4 </w:t>
            </w:r>
          </w:p>
          <w:p w:rsidR="007926DC" w:rsidRDefault="007926DC" w:rsidP="00ED7CF4">
            <w:pPr>
              <w:pStyle w:val="Body"/>
              <w:spacing w:line="256" w:lineRule="auto"/>
              <w:jc w:val="center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eastAsia="en-US"/>
              </w:rPr>
              <w:t>(90.5 to 97.1)</w:t>
            </w:r>
          </w:p>
        </w:tc>
      </w:tr>
    </w:tbl>
    <w:p w:rsidR="00ED7CF4" w:rsidRDefault="00ED7CF4" w:rsidP="00ED7CF4">
      <w:pPr>
        <w:pStyle w:val="BodyA"/>
        <w:spacing w:after="0" w:line="240" w:lineRule="auto"/>
        <w:outlineLvl w:val="0"/>
      </w:pPr>
      <w:r>
        <w:t xml:space="preserve">Appendix 3. Comparison of diagnostic accuracy of </w:t>
      </w:r>
      <w:proofErr w:type="spellStart"/>
      <w:r>
        <w:t>gFOB</w:t>
      </w:r>
      <w:proofErr w:type="spellEnd"/>
      <w:r>
        <w:t xml:space="preserve"> and FIT at different concentration thresholds for detection of adenocarcinoma and significant colorectal disease (adenocarcinoma; high risk adenoma; inflammatory bowel disease) excluding nine patients with rectal bleeding.</w:t>
      </w:r>
    </w:p>
    <w:p w:rsidR="007926DC" w:rsidRDefault="007926DC" w:rsidP="007926DC">
      <w:pPr>
        <w:rPr>
          <w:rFonts w:eastAsia="Arial Unicode MS"/>
          <w:lang w:val="en-US"/>
        </w:rPr>
      </w:pPr>
    </w:p>
    <w:p w:rsidR="00174CBE" w:rsidRDefault="00174CBE"/>
    <w:sectPr w:rsidR="00174CBE" w:rsidSect="00F64239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6"/>
    <w:rsid w:val="00174CBE"/>
    <w:rsid w:val="00382A08"/>
    <w:rsid w:val="005752A3"/>
    <w:rsid w:val="00736F5E"/>
    <w:rsid w:val="007926DC"/>
    <w:rsid w:val="00901CB6"/>
    <w:rsid w:val="00AE1268"/>
    <w:rsid w:val="00ED7CF4"/>
    <w:rsid w:val="00F64239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898B7-BCAA-4EB1-90DF-8129134B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926DC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BodyB">
    <w:name w:val="Body B"/>
    <w:rsid w:val="007926DC"/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</w:rPr>
  </w:style>
  <w:style w:type="paragraph" w:customStyle="1" w:styleId="Body">
    <w:name w:val="Body"/>
    <w:rsid w:val="007926DC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character" w:customStyle="1" w:styleId="None">
    <w:name w:val="None"/>
    <w:rsid w:val="007926DC"/>
  </w:style>
  <w:style w:type="table" w:styleId="TableGrid">
    <w:name w:val="Table Grid"/>
    <w:basedOn w:val="TableNormal"/>
    <w:uiPriority w:val="39"/>
    <w:rsid w:val="0073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3. Comparison of diagnostic accuracy of gFOB and FIT at different conce</vt:lpstr>
    </vt:vector>
  </TitlesOfParts>
  <Company>NHS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bnicholson</cp:lastModifiedBy>
  <cp:revision>3</cp:revision>
  <dcterms:created xsi:type="dcterms:W3CDTF">2018-07-31T11:52:00Z</dcterms:created>
  <dcterms:modified xsi:type="dcterms:W3CDTF">2018-07-31T11:52:00Z</dcterms:modified>
</cp:coreProperties>
</file>